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en-US"/>
        </w:rPr>
        <w:t>SZDR-2022-0010002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  <w:sectPr>
          <w:footerReference r:id="rId3" w:type="default"/>
          <w:footnotePr>
            <w:numFmt w:val="decimal"/>
          </w:footnotePr>
          <w:pgSz w:w="11900" w:h="16840"/>
          <w:pgMar w:top="951" w:right="1307" w:bottom="1447" w:left="1596" w:header="523" w:footer="3" w:gutter="0"/>
          <w:pgNumType w:start="1"/>
          <w:cols w:space="720" w:num="1"/>
          <w:rtlGutter w:val="0"/>
          <w:docGrid w:linePitch="360" w:charSpace="0"/>
        </w:sect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市中区人民政府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关于调整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en-US"/>
        </w:rPr>
        <w:t>/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扩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大高排放非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道路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移动机械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禁用区域的通告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为减少非道路移动机械污染排放，切实改善环境空气质量, 保障人民群众身体健康，根据《中华人民共和国大气污染防治法》、《山东省非道路移动机械排气污染防治规定》（省政府令第327号）、《山东省深入打好蓝天保卫战行动计划》（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en-US"/>
        </w:rPr>
        <w:t>2021—2025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年）等规定。现结合我区实际，调整/扩大高排放非道路移动机械禁用区域，现将有关事项通告如下：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—、适用范围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本通告适用的非道路移动机械为：叉车、挖掘机、装载机、 起重机、推土机、压路机、摊铺机、平地机、桩工机械、材料装卸机械、工业钻探设备、堆高机、空气压缩机、发电机组、场内车辆、非公路用卡车等装配有柴油发动机的移动机械和可运输工业设备。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二、禁用区域及禁用标准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城市建成区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中区划定禁止使用高排放非道路移动机械区域为：东线范围由东外环路（人民路至君山路段）以西、君山路（建设路至东外环路段）以南、建设路（君山路至香港街东入口段）以西，西线范围由西昌路以东，南线范围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民路以北，北线范围由胜利路、长乐路及香港街以南范围内所有区域。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上述区域内，禁止使用装用柴油机达不到《非道路移动机械用柴油机排气污染物排放限值及测量方法（中国第三、四阶段）》（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GB2089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</w:t>
      </w:r>
      <w:r>
        <w:rPr>
          <w:rFonts w:hint="eastAsia" w:ascii="仿宋_GB2312" w:hAnsi="仿宋_GB2312" w:eastAsia="仿宋_GB2312" w:cs="仿宋_GB2312"/>
          <w:sz w:val="32"/>
          <w:szCs w:val="32"/>
        </w:rPr>
        <w:t>2014）中第三阶段标准（即国三标准）、编码登记为X阶段、超过污染物排放标准和有明显可见烟的非道路移动机械。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（二）乡镇（街道）政府（办事处）驻地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垎</w:t>
      </w:r>
      <w:r>
        <w:rPr>
          <w:rFonts w:hint="eastAsia" w:ascii="仿宋_GB2312" w:hAnsi="仿宋_GB2312" w:eastAsia="仿宋_GB2312" w:cs="仿宋_GB2312"/>
          <w:sz w:val="32"/>
          <w:szCs w:val="32"/>
        </w:rPr>
        <w:t>塔埠街道（未含在城市建成区内的）：南至清泉路往南延伸300米，北至人民路，东至建设路往南延伸，西至青檀路的区域，但不含涝坡村、西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垎</w:t>
      </w:r>
      <w:r>
        <w:rPr>
          <w:rFonts w:hint="eastAsia" w:ascii="仿宋_GB2312" w:hAnsi="仿宋_GB2312" w:eastAsia="仿宋_GB2312" w:cs="仿宋_GB2312"/>
          <w:sz w:val="32"/>
          <w:szCs w:val="32"/>
        </w:rPr>
        <w:t>塔埠村、中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垎</w:t>
      </w:r>
      <w:r>
        <w:rPr>
          <w:rFonts w:hint="eastAsia" w:ascii="仿宋_GB2312" w:hAnsi="仿宋_GB2312" w:eastAsia="仿宋_GB2312" w:cs="仿宋_GB2312"/>
          <w:sz w:val="32"/>
          <w:szCs w:val="32"/>
        </w:rPr>
        <w:t>塔埠村以及东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垎</w:t>
      </w:r>
      <w:r>
        <w:rPr>
          <w:rFonts w:hint="eastAsia" w:ascii="仿宋_GB2312" w:hAnsi="仿宋_GB2312" w:eastAsia="仿宋_GB2312" w:cs="仿宋_GB2312"/>
          <w:sz w:val="32"/>
          <w:szCs w:val="32"/>
        </w:rPr>
        <w:t>塔埠村等区域及道路范围。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矿区街道（未含在城市建成区内的）：南至北马路，北至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矸</w:t>
      </w:r>
      <w:r>
        <w:rPr>
          <w:rFonts w:hint="eastAsia" w:ascii="仿宋_GB2312" w:hAnsi="仿宋_GB2312" w:eastAsia="仿宋_GB2312" w:cs="仿宋_GB2312"/>
          <w:sz w:val="32"/>
          <w:szCs w:val="32"/>
        </w:rPr>
        <w:t>石山路，东至解放北路，西至长青路的区域。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齐村镇：南至中兴大道，北至北安路，东至解放北路，西至崗山路的区域。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孟庄镇：南至泉头路以北，北至大郭庄村茶园路至冯庄村以南，东至峨山口村红旗岭南北路，西至北安东路以东的区域。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税郭镇：南至206国道，北至税郭中心小学北侧，东至物联超市南北路，西至税郭沙河支流的区域。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永安镇：南至世纪大道，北至人民路，东至张林大桥，西至谷山路的区域。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西王庄镇：南至镇政府南440米，北至镇政府北470米，东至镇政府东860米，西至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峄</w:t>
      </w:r>
      <w:r>
        <w:rPr>
          <w:rFonts w:hint="eastAsia" w:ascii="仿宋_GB2312" w:hAnsi="仿宋_GB2312" w:eastAsia="仿宋_GB2312" w:cs="仿宋_GB2312"/>
          <w:sz w:val="32"/>
          <w:szCs w:val="32"/>
        </w:rPr>
        <w:t>城大沙河谭家河段的区域。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上述区域内，禁止使用装用柴油机达不到《非道路移动机 械用柴油机排气污染物排放限值及測量方法（中国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I</w:t>
      </w:r>
      <w:r>
        <w:rPr>
          <w:rFonts w:hint="eastAsia" w:ascii="仿宋_GB2312" w:hAnsi="仿宋_GB2312" w:eastAsia="仿宋_GB2312" w:cs="仿宋_GB2312"/>
          <w:sz w:val="32"/>
          <w:szCs w:val="32"/>
        </w:rPr>
        <w:t>、II阶段）》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（GB20891-2007）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中第II阶段标准（即国二标准）、编码登记为X阶段、超过污染物排放标准和有明显可见烟的非道路移动机械。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三、管控要求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（一）违反本通告规定，由生态环境部门依法予以处罚。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（二）公安、自然资源、住房和城乡建设、交通运输、城乡水务、市场监管、综合行政执法等部门在各自职责范围内，对非道路移动机械污染防治情况实施监督管理。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（三）执行应急、抢险救灾等特殊任务的非道路移动机械不受禁用区限制。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（四）根据本行政区域内大气环境质量状况、经济社会发展、城市建设、人口密度等情况，按照国家、省、市有关政策 要求，可适时调整高排放非道路移动机械的禁用区和要求。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（五）鼓励购置使用新能源非道路移动机械；鼓励淘汰更新老旧非道路移动机械。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四、本通告自发布之日起实施，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有效期5年，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原《关于划定禁止使用高 排放非道路移动机械区域的通告》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en-US"/>
        </w:rPr>
        <w:t>（SZDR-2019-0010009）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同时废止。</w:t>
      </w:r>
    </w:p>
    <w:p>
      <w:pPr>
        <w:rPr>
          <w:rFonts w:hint="eastAsia" w:ascii="微软雅黑" w:hAnsi="微软雅黑" w:eastAsia="微软雅黑" w:cs="微软雅黑"/>
          <w:sz w:val="30"/>
          <w:szCs w:val="30"/>
        </w:rPr>
      </w:pPr>
    </w:p>
    <w:p/>
    <w:p/>
    <w:sectPr>
      <w:footnotePr>
        <w:numFmt w:val="decimal"/>
      </w:footnotePr>
      <w:type w:val="continuous"/>
      <w:pgSz w:w="11900" w:h="16840"/>
      <w:pgMar w:top="951" w:right="1307" w:bottom="951" w:left="1596" w:header="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3569970</wp:posOffset>
              </wp:positionH>
              <wp:positionV relativeFrom="page">
                <wp:posOffset>10139680</wp:posOffset>
              </wp:positionV>
              <wp:extent cx="612775" cy="1428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</w:rPr>
                            <w:t xml:space="preserve">1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81.1pt;margin-top:798.4pt;height:11.25pt;width:48.2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BmsOFXYAAAADQEAAA8AAAAAAAAAAQAgAAAAIgAAAGRycy9kb3du&#10;cmV2LnhtbFBLAQIUABQAAAAIAIdO4kD0HSi3jQEAACEDAAAOAAAAAAAAAAEAIAAAACc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en-US" w:eastAsia="en-US" w:bidi="en-US"/>
                      </w:rPr>
                      <w:t>—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</w:rPr>
                      <w:t xml:space="preserve">1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A01E0"/>
    <w:rsid w:val="2E151539"/>
    <w:rsid w:val="562A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crosoft JhengHei Light" w:hAnsi="Microsoft JhengHei Light" w:eastAsia="Microsoft JhengHei Light" w:cs="Microsoft JhengHe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JhengHei Light" w:hAnsi="Microsoft JhengHei Light" w:eastAsia="Microsoft JhengHei Light" w:cs="Microsoft JhengHei Light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(3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b/>
      <w:bCs/>
      <w:sz w:val="32"/>
      <w:szCs w:val="32"/>
      <w:u w:val="none"/>
    </w:rPr>
  </w:style>
  <w:style w:type="paragraph" w:customStyle="1" w:styleId="5">
    <w:name w:val="正文文本 (2)"/>
    <w:basedOn w:val="1"/>
    <w:qFormat/>
    <w:uiPriority w:val="0"/>
    <w:pPr>
      <w:widowControl w:val="0"/>
      <w:shd w:val="clear" w:color="auto" w:fill="FFFFFF"/>
      <w:spacing w:after="540" w:line="539" w:lineRule="exact"/>
      <w:jc w:val="center"/>
    </w:pPr>
    <w:rPr>
      <w:rFonts w:ascii="MingLiU" w:hAnsi="MingLiU" w:eastAsia="MingLiU" w:cs="MingLiU"/>
      <w:sz w:val="44"/>
      <w:szCs w:val="44"/>
      <w:u w:val="none"/>
      <w:lang w:val="zh-CN" w:eastAsia="zh-CN" w:bidi="zh-CN"/>
    </w:rPr>
  </w:style>
  <w:style w:type="paragraph" w:customStyle="1" w:styleId="6">
    <w:name w:val="正文文本1"/>
    <w:basedOn w:val="1"/>
    <w:qFormat/>
    <w:uiPriority w:val="0"/>
    <w:pPr>
      <w:widowControl w:val="0"/>
      <w:shd w:val="clear" w:color="auto" w:fill="FFFFFF"/>
      <w:spacing w:line="379" w:lineRule="auto"/>
      <w:ind w:firstLine="400"/>
    </w:pPr>
    <w:rPr>
      <w:rFonts w:ascii="MingLiU" w:hAnsi="MingLiU" w:eastAsia="MingLiU" w:cs="MingLiU"/>
      <w:sz w:val="30"/>
      <w:szCs w:val="30"/>
      <w:u w:val="none"/>
      <w:lang w:val="zh-CN" w:eastAsia="zh-CN" w:bidi="zh-CN"/>
    </w:rPr>
  </w:style>
  <w:style w:type="paragraph" w:customStyle="1" w:styleId="7">
    <w:name w:val="正文文本 (4)"/>
    <w:basedOn w:val="1"/>
    <w:uiPriority w:val="0"/>
    <w:pPr>
      <w:widowControl w:val="0"/>
      <w:shd w:val="clear" w:color="auto" w:fill="FFFFFF"/>
    </w:pPr>
    <w:rPr>
      <w:rFonts w:ascii="MingLiU" w:hAnsi="MingLiU" w:eastAsia="MingLiU" w:cs="MingLiU"/>
      <w:color w:val="C22E4B"/>
      <w:sz w:val="66"/>
      <w:szCs w:val="66"/>
      <w:u w:val="none"/>
      <w:lang w:val="zh-CN" w:eastAsia="zh-CN" w:bidi="zh-CN"/>
    </w:rPr>
  </w:style>
  <w:style w:type="paragraph" w:customStyle="1" w:styleId="8">
    <w:name w:val="正文文本 (5)"/>
    <w:basedOn w:val="1"/>
    <w:qFormat/>
    <w:uiPriority w:val="0"/>
    <w:pPr>
      <w:widowControl w:val="0"/>
      <w:shd w:val="clear" w:color="auto" w:fill="FFFFFF"/>
    </w:pPr>
    <w:rPr>
      <w:rFonts w:ascii="Arial" w:hAnsi="Arial" w:eastAsia="Arial" w:cs="Arial"/>
      <w:color w:val="C22E4B"/>
      <w:sz w:val="34"/>
      <w:szCs w:val="34"/>
      <w:u w:val="none"/>
      <w:lang w:val="zh-CN" w:eastAsia="zh-CN" w:bidi="zh-CN"/>
    </w:rPr>
  </w:style>
  <w:style w:type="paragraph" w:customStyle="1" w:styleId="9">
    <w:name w:val="页眉或页脚 (2)"/>
    <w:basedOn w:val="1"/>
    <w:qFormat/>
    <w:uiPriority w:val="0"/>
    <w:pPr>
      <w:widowControl w:val="0"/>
      <w:shd w:val="clear" w:color="auto" w:fill="FFFFFF"/>
    </w:pPr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2022-12-05T02:28:00Z</dcterms:created>
  <dc:creator>lirong</dc:creator>
  <cp:lastModifiedBy>lirong</cp:lastModifiedBy>
  <dcterms:modified xsi:type="dcterms:W3CDTF">2023-08-30T09:18:26Z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